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26C" w:rsidRPr="00BA3717" w:rsidRDefault="009D0F9C" w:rsidP="00BA37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</w:rPr>
      </w:pPr>
      <w:r w:rsidRPr="00BA3717">
        <w:rPr>
          <w:rFonts w:ascii="Times New Roman" w:hAnsi="Times New Roman" w:cs="Times New Roman"/>
          <w:color w:val="000000" w:themeColor="text1"/>
          <w:sz w:val="24"/>
        </w:rPr>
        <w:t xml:space="preserve">The change initiative intends at integrating non-pharmacological interventions into the established pharmacological treatments for hypertension. The project has significance for the patients. Other than provision of non-invasive and evidence-based treatment options, the patients also gain a sense of control over their health. The aspect also identifies the trend by which e-health capitalizes on (Harman, Flite &amp; Bond, 2012); giving medical control over to the patients. Significant achievement </w:t>
      </w:r>
      <w:bookmarkStart w:id="0" w:name="_GoBack"/>
      <w:bookmarkEnd w:id="0"/>
      <w:r w:rsidR="00BA3717" w:rsidRPr="00BA3717">
        <w:rPr>
          <w:rFonts w:ascii="Times New Roman" w:hAnsi="Times New Roman" w:cs="Times New Roman"/>
          <w:color w:val="000000" w:themeColor="text1"/>
          <w:sz w:val="24"/>
        </w:rPr>
        <w:t>highlights</w:t>
      </w:r>
      <w:r w:rsidRPr="00BA3717">
        <w:rPr>
          <w:rFonts w:ascii="Times New Roman" w:hAnsi="Times New Roman" w:cs="Times New Roman"/>
          <w:color w:val="000000" w:themeColor="text1"/>
          <w:sz w:val="24"/>
        </w:rPr>
        <w:t xml:space="preserve"> the same point such as inclusion of patient consent before transferring medical data, and also giving them access to the same. </w:t>
      </w:r>
      <w:r w:rsidR="002B7EDC" w:rsidRPr="00BA3717">
        <w:rPr>
          <w:rFonts w:ascii="Times New Roman" w:hAnsi="Times New Roman" w:cs="Times New Roman"/>
          <w:color w:val="000000" w:themeColor="text1"/>
          <w:sz w:val="24"/>
        </w:rPr>
        <w:t>Additionally, the project also proves significant in providing an alternative mode of treatment for the medical condition as opposed t</w:t>
      </w:r>
      <w:r w:rsidR="00BA3717" w:rsidRPr="00BA3717">
        <w:rPr>
          <w:rFonts w:ascii="Times New Roman" w:hAnsi="Times New Roman" w:cs="Times New Roman"/>
          <w:color w:val="000000" w:themeColor="text1"/>
          <w:sz w:val="24"/>
        </w:rPr>
        <w:t xml:space="preserve">o the stipulated means. </w:t>
      </w:r>
      <w:r w:rsidR="002B7EDC" w:rsidRPr="00BA3717">
        <w:rPr>
          <w:rFonts w:ascii="Times New Roman" w:hAnsi="Times New Roman" w:cs="Times New Roman"/>
          <w:color w:val="000000" w:themeColor="text1"/>
          <w:sz w:val="24"/>
        </w:rPr>
        <w:t xml:space="preserve">An alternative option gives patient options that are better suited to their needs. </w:t>
      </w:r>
    </w:p>
    <w:p w:rsidR="002B7EDC" w:rsidRPr="00BA3717" w:rsidRDefault="002B7EDC" w:rsidP="00BA3717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</w:rPr>
      </w:pPr>
      <w:r w:rsidRPr="00BA3717">
        <w:rPr>
          <w:rFonts w:ascii="Times New Roman" w:hAnsi="Times New Roman" w:cs="Times New Roman"/>
          <w:color w:val="000000" w:themeColor="text1"/>
          <w:sz w:val="24"/>
        </w:rPr>
        <w:t>The medical institution gets the privilege of having an extensive and comprehensive service package in their quest to provide optimum care for their patient</w:t>
      </w:r>
      <w:r w:rsidR="00BA3717" w:rsidRPr="00BA371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BA3717" w:rsidRPr="00BA3717">
        <w:rPr>
          <w:rFonts w:ascii="Times New Roman" w:hAnsi="Times New Roman" w:cs="Times New Roman"/>
          <w:color w:val="000000" w:themeColor="text1"/>
          <w:sz w:val="24"/>
        </w:rPr>
        <w:t>(</w:t>
      </w:r>
      <w:proofErr w:type="spellStart"/>
      <w:r w:rsidR="00BA3717" w:rsidRPr="00BA3717">
        <w:rPr>
          <w:rFonts w:ascii="Times New Roman" w:hAnsi="Times New Roman" w:cs="Times New Roman"/>
          <w:color w:val="000000" w:themeColor="text1"/>
          <w:sz w:val="24"/>
        </w:rPr>
        <w:t>Guirado</w:t>
      </w:r>
      <w:proofErr w:type="spellEnd"/>
      <w:r w:rsidR="00BA3717" w:rsidRPr="00BA3717">
        <w:rPr>
          <w:rFonts w:ascii="Times New Roman" w:hAnsi="Times New Roman" w:cs="Times New Roman"/>
          <w:color w:val="000000" w:themeColor="text1"/>
          <w:sz w:val="24"/>
        </w:rPr>
        <w:t xml:space="preserve"> et al., 2012).</w:t>
      </w:r>
      <w:r w:rsidRPr="00BA3717">
        <w:rPr>
          <w:rFonts w:ascii="Times New Roman" w:hAnsi="Times New Roman" w:cs="Times New Roman"/>
          <w:color w:val="000000" w:themeColor="text1"/>
          <w:sz w:val="24"/>
        </w:rPr>
        <w:t xml:space="preserve"> Additionally, the comprehensive nature of care for the institution also influences additional training and re-training opportunities to the nursing staff. Such exposure improves the professionalism standards of the medical institution and also improves its stature to its clients and also to the community. </w:t>
      </w:r>
    </w:p>
    <w:p w:rsidR="009D0F9C" w:rsidRPr="00BA3717" w:rsidRDefault="009D0F9C" w:rsidP="00BA3717">
      <w:pPr>
        <w:tabs>
          <w:tab w:val="left" w:pos="1020"/>
        </w:tabs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BA3717">
        <w:rPr>
          <w:rFonts w:ascii="Times New Roman" w:hAnsi="Times New Roman" w:cs="Times New Roman"/>
          <w:color w:val="000000" w:themeColor="text1"/>
          <w:sz w:val="24"/>
        </w:rPr>
        <w:t>References</w:t>
      </w:r>
    </w:p>
    <w:p w:rsidR="002B7EDC" w:rsidRPr="00BA3717" w:rsidRDefault="002B7EDC" w:rsidP="00BA3717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proofErr w:type="spellStart"/>
      <w:r w:rsidRPr="00BA3717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Guirado</w:t>
      </w:r>
      <w:proofErr w:type="spellEnd"/>
      <w:r w:rsidRPr="00BA3717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, G. N., </w:t>
      </w:r>
      <w:proofErr w:type="spellStart"/>
      <w:r w:rsidRPr="00BA3717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Damatto</w:t>
      </w:r>
      <w:proofErr w:type="spellEnd"/>
      <w:r w:rsidRPr="00BA3717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, R. L., Matsubara, B. B., </w:t>
      </w:r>
      <w:proofErr w:type="spellStart"/>
      <w:r w:rsidRPr="00BA3717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Roscani</w:t>
      </w:r>
      <w:proofErr w:type="spellEnd"/>
      <w:r w:rsidRPr="00BA3717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, M. G., Fusco, D. R., </w:t>
      </w:r>
      <w:proofErr w:type="spellStart"/>
      <w:r w:rsidRPr="00BA3717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Cicchetto</w:t>
      </w:r>
      <w:proofErr w:type="spellEnd"/>
      <w:r w:rsidRPr="00BA3717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, L. A., ... &amp; </w:t>
      </w:r>
      <w:proofErr w:type="spellStart"/>
      <w:r w:rsidRPr="00BA3717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Okoshi</w:t>
      </w:r>
      <w:proofErr w:type="spellEnd"/>
      <w:r w:rsidRPr="00BA3717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, M. P. (2012). Combined exercise training in asymptomatic elderly with controlled hypertension: effects on functional capacity and cardiac diastolic function. </w:t>
      </w:r>
      <w:r w:rsidRPr="00BA3717">
        <w:rPr>
          <w:rFonts w:ascii="Times New Roman" w:hAnsi="Times New Roman" w:cs="Times New Roman"/>
          <w:i/>
          <w:iCs/>
          <w:color w:val="000000" w:themeColor="text1"/>
          <w:sz w:val="24"/>
          <w:shd w:val="clear" w:color="auto" w:fill="FFFFFF"/>
        </w:rPr>
        <w:t>Medical science monitor: international medical journal of experimental and clinical research</w:t>
      </w:r>
      <w:r w:rsidRPr="00BA3717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, </w:t>
      </w:r>
      <w:r w:rsidRPr="00BA3717">
        <w:rPr>
          <w:rFonts w:ascii="Times New Roman" w:hAnsi="Times New Roman" w:cs="Times New Roman"/>
          <w:i/>
          <w:iCs/>
          <w:color w:val="000000" w:themeColor="text1"/>
          <w:sz w:val="24"/>
          <w:shd w:val="clear" w:color="auto" w:fill="FFFFFF"/>
        </w:rPr>
        <w:t>18</w:t>
      </w:r>
      <w:r w:rsidRPr="00BA3717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(7), CR461.</w:t>
      </w:r>
    </w:p>
    <w:p w:rsidR="009D0F9C" w:rsidRPr="00BA3717" w:rsidRDefault="009D0F9C" w:rsidP="00BA3717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</w:rPr>
      </w:pPr>
      <w:r w:rsidRPr="00BA3717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lastRenderedPageBreak/>
        <w:t>Harman, L. B., Flite, C. A., &amp; Bond, K. (2012). Electronic health records: privacy, confidentiality, and security. </w:t>
      </w:r>
      <w:r w:rsidRPr="00BA3717">
        <w:rPr>
          <w:rFonts w:ascii="Times New Roman" w:hAnsi="Times New Roman" w:cs="Times New Roman"/>
          <w:i/>
          <w:iCs/>
          <w:color w:val="000000" w:themeColor="text1"/>
          <w:sz w:val="24"/>
          <w:shd w:val="clear" w:color="auto" w:fill="FFFFFF"/>
        </w:rPr>
        <w:t>AMA Journal of Ethics</w:t>
      </w:r>
      <w:r w:rsidRPr="00BA3717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, </w:t>
      </w:r>
      <w:r w:rsidRPr="00BA3717">
        <w:rPr>
          <w:rFonts w:ascii="Times New Roman" w:hAnsi="Times New Roman" w:cs="Times New Roman"/>
          <w:i/>
          <w:iCs/>
          <w:color w:val="000000" w:themeColor="text1"/>
          <w:sz w:val="24"/>
          <w:shd w:val="clear" w:color="auto" w:fill="FFFFFF"/>
        </w:rPr>
        <w:t>14</w:t>
      </w:r>
      <w:r w:rsidRPr="00BA3717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(9), 712-719.</w:t>
      </w:r>
    </w:p>
    <w:sectPr w:rsidR="009D0F9C" w:rsidRPr="00BA3717" w:rsidSect="00D972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F9C"/>
    <w:rsid w:val="002B7EDC"/>
    <w:rsid w:val="009D0F9C"/>
    <w:rsid w:val="00BA3717"/>
    <w:rsid w:val="00D9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C8773"/>
  <w15:docId w15:val="{0770C949-59D9-4078-8FDC-11727CF6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72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2020-07-23T02:49:00Z</dcterms:created>
  <dcterms:modified xsi:type="dcterms:W3CDTF">2020-07-23T02:49:00Z</dcterms:modified>
</cp:coreProperties>
</file>